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49F24" w14:textId="43789CB9" w:rsidR="00650C32" w:rsidRPr="00650C32" w:rsidRDefault="00650C32" w:rsidP="00650C32">
      <w:pPr>
        <w:spacing w:before="100" w:beforeAutospacing="1" w:after="100" w:afterAutospacing="1" w:line="240" w:lineRule="auto"/>
        <w:rPr>
          <w:rFonts w:ascii="Georgia" w:eastAsia="Times New Roman" w:hAnsi="Georgia" w:cs="Times New Roman"/>
          <w:sz w:val="28"/>
          <w:szCs w:val="28"/>
        </w:rPr>
      </w:pPr>
      <w:r w:rsidRPr="00650C32">
        <w:rPr>
          <w:rFonts w:ascii="Georgia" w:eastAsia="Times New Roman" w:hAnsi="Georgia" w:cs="Times New Roman"/>
          <w:sz w:val="28"/>
          <w:szCs w:val="28"/>
        </w:rPr>
        <w:t>Dr. Bryan Ardis discovered slides from a presentation given on October 22, 2020</w:t>
      </w:r>
      <w:r w:rsidRPr="002F14E0">
        <w:rPr>
          <w:rFonts w:ascii="Georgia" w:eastAsia="Times New Roman" w:hAnsi="Georgia" w:cs="Times New Roman"/>
          <w:sz w:val="28"/>
          <w:szCs w:val="28"/>
        </w:rPr>
        <w:t>,</w:t>
      </w:r>
      <w:r w:rsidRPr="00650C32">
        <w:rPr>
          <w:rFonts w:ascii="Georgia" w:eastAsia="Times New Roman" w:hAnsi="Georgia" w:cs="Times New Roman"/>
          <w:sz w:val="28"/>
          <w:szCs w:val="28"/>
        </w:rPr>
        <w:t xml:space="preserve"> in preparation for the massive effort to inject every single American down to 6-months of age beginning in December 2020. The Vaccines and Related Biological Products Advisory Committee (VRBPAC) - October 22, 2020, Steve Anderson, PhD, MPP Director, Office of Biostatistics &amp; Epidemiology, Center for Biologics Evaluation and Research (CBER) gave a presentation on CBER “Plans for Monitoring COVID-19 Vaccine Safety and Effectiveness”.</w:t>
      </w:r>
    </w:p>
    <w:p w14:paraId="3AFA2A01" w14:textId="77777777" w:rsidR="00650C32" w:rsidRPr="00650C32" w:rsidRDefault="00650C32" w:rsidP="00650C32">
      <w:pPr>
        <w:spacing w:before="100" w:beforeAutospacing="1" w:after="100" w:afterAutospacing="1" w:line="240" w:lineRule="auto"/>
        <w:rPr>
          <w:rFonts w:ascii="Georgia" w:eastAsia="Times New Roman" w:hAnsi="Georgia" w:cs="Times New Roman"/>
          <w:sz w:val="28"/>
          <w:szCs w:val="28"/>
        </w:rPr>
      </w:pPr>
      <w:r w:rsidRPr="00650C32">
        <w:rPr>
          <w:rFonts w:ascii="Georgia" w:eastAsia="Times New Roman" w:hAnsi="Georgia" w:cs="Times New Roman"/>
          <w:sz w:val="28"/>
          <w:szCs w:val="28"/>
        </w:rPr>
        <w:t>Slide 16 clearly shows the CDC and FDA were very well aware of the side-effects to monitor for, as some had occurred during the trials and others were serious injuries seen from other vaccines. However, up until recently, the inserts in the vaccine packages were blank on both sides. Only after an outcry from the public did they add information about the risk of myocarditis and pericarditis.</w:t>
      </w:r>
    </w:p>
    <w:p w14:paraId="2A2A4101" w14:textId="77777777" w:rsidR="00650C32" w:rsidRPr="00650C32" w:rsidRDefault="00650C32" w:rsidP="00650C32">
      <w:pPr>
        <w:spacing w:before="100" w:beforeAutospacing="1" w:after="100" w:afterAutospacing="1" w:line="240" w:lineRule="auto"/>
        <w:rPr>
          <w:rFonts w:ascii="Georgia" w:eastAsia="Times New Roman" w:hAnsi="Georgia" w:cs="Times New Roman"/>
          <w:sz w:val="28"/>
          <w:szCs w:val="28"/>
        </w:rPr>
      </w:pPr>
      <w:r w:rsidRPr="00650C32">
        <w:rPr>
          <w:rFonts w:ascii="Georgia" w:eastAsia="Times New Roman" w:hAnsi="Georgia" w:cs="Times New Roman"/>
          <w:sz w:val="28"/>
          <w:szCs w:val="28"/>
        </w:rPr>
        <w:t>Federal law, mandates all possible side-effects be made available to the consumer, including for products authorized via the Emergency Use Authorization, which states:</w:t>
      </w:r>
    </w:p>
    <w:p w14:paraId="320C98A2" w14:textId="77777777" w:rsidR="00650C32" w:rsidRPr="00650C32" w:rsidRDefault="00650C32" w:rsidP="00650C32">
      <w:pPr>
        <w:spacing w:before="100" w:beforeAutospacing="1" w:after="100" w:afterAutospacing="1" w:line="240" w:lineRule="auto"/>
        <w:rPr>
          <w:rFonts w:ascii="Georgia" w:eastAsia="Times New Roman" w:hAnsi="Georgia" w:cs="Times New Roman"/>
          <w:sz w:val="28"/>
          <w:szCs w:val="28"/>
        </w:rPr>
      </w:pPr>
      <w:r w:rsidRPr="00650C32">
        <w:rPr>
          <w:rFonts w:ascii="Georgia" w:eastAsia="Times New Roman" w:hAnsi="Georgia" w:cs="Times New Roman"/>
          <w:b/>
          <w:bCs/>
          <w:sz w:val="28"/>
          <w:szCs w:val="28"/>
        </w:rPr>
        <w:t>21 USC 360bbb-3: Authorization for medical products for use in emergencies</w:t>
      </w:r>
      <w:r w:rsidRPr="00650C32">
        <w:rPr>
          <w:rFonts w:ascii="Georgia" w:eastAsia="Times New Roman" w:hAnsi="Georgia" w:cs="Times New Roman"/>
          <w:sz w:val="28"/>
          <w:szCs w:val="28"/>
        </w:rPr>
        <w:t xml:space="preserve"> (Section e:1:A:ii)</w:t>
      </w:r>
      <w:r w:rsidRPr="00650C32">
        <w:rPr>
          <w:rFonts w:ascii="Georgia" w:eastAsia="Times New Roman" w:hAnsi="Georgia" w:cs="Times New Roman"/>
          <w:sz w:val="28"/>
          <w:szCs w:val="28"/>
        </w:rPr>
        <w:br/>
      </w:r>
      <w:r w:rsidRPr="00650C32">
        <w:rPr>
          <w:rFonts w:ascii="Georgia" w:eastAsia="Times New Roman" w:hAnsi="Georgia" w:cs="Times New Roman"/>
          <w:sz w:val="28"/>
          <w:szCs w:val="28"/>
        </w:rPr>
        <w:br/>
        <w:t xml:space="preserve">(ii) </w:t>
      </w:r>
      <w:r w:rsidRPr="00650C32">
        <w:rPr>
          <w:rFonts w:ascii="Georgia" w:eastAsia="Times New Roman" w:hAnsi="Georgia" w:cs="Times New Roman"/>
          <w:b/>
          <w:bCs/>
          <w:sz w:val="28"/>
          <w:szCs w:val="28"/>
        </w:rPr>
        <w:t>Appropriate conditions designed to ensure that individuals to whom the product is administered are informed-</w:t>
      </w:r>
    </w:p>
    <w:p w14:paraId="28484D74" w14:textId="77777777" w:rsidR="00650C32" w:rsidRPr="00650C32" w:rsidRDefault="00650C32" w:rsidP="00650C32">
      <w:pPr>
        <w:numPr>
          <w:ilvl w:val="0"/>
          <w:numId w:val="1"/>
        </w:numPr>
        <w:spacing w:before="100" w:beforeAutospacing="1" w:after="100" w:afterAutospacing="1" w:line="240" w:lineRule="auto"/>
        <w:rPr>
          <w:rFonts w:ascii="Georgia" w:eastAsia="Times New Roman" w:hAnsi="Georgia" w:cs="Times New Roman"/>
          <w:sz w:val="28"/>
          <w:szCs w:val="28"/>
        </w:rPr>
      </w:pPr>
      <w:r w:rsidRPr="00650C32">
        <w:rPr>
          <w:rFonts w:ascii="Georgia" w:eastAsia="Times New Roman" w:hAnsi="Georgia" w:cs="Times New Roman"/>
          <w:i/>
          <w:iCs/>
          <w:sz w:val="28"/>
          <w:szCs w:val="28"/>
        </w:rPr>
        <w:t xml:space="preserve">that the Secretary has authorized the emergency use of the </w:t>
      </w:r>
      <w:proofErr w:type="gramStart"/>
      <w:r w:rsidRPr="00650C32">
        <w:rPr>
          <w:rFonts w:ascii="Georgia" w:eastAsia="Times New Roman" w:hAnsi="Georgia" w:cs="Times New Roman"/>
          <w:i/>
          <w:iCs/>
          <w:sz w:val="28"/>
          <w:szCs w:val="28"/>
        </w:rPr>
        <w:t>product;</w:t>
      </w:r>
      <w:proofErr w:type="gramEnd"/>
    </w:p>
    <w:p w14:paraId="78D0235E" w14:textId="77777777" w:rsidR="00650C32" w:rsidRPr="00650C32" w:rsidRDefault="00650C32" w:rsidP="00650C32">
      <w:pPr>
        <w:numPr>
          <w:ilvl w:val="0"/>
          <w:numId w:val="1"/>
        </w:numPr>
        <w:spacing w:before="100" w:beforeAutospacing="1" w:after="100" w:afterAutospacing="1" w:line="240" w:lineRule="auto"/>
        <w:rPr>
          <w:rFonts w:ascii="Georgia" w:eastAsia="Times New Roman" w:hAnsi="Georgia" w:cs="Times New Roman"/>
          <w:sz w:val="28"/>
          <w:szCs w:val="28"/>
        </w:rPr>
      </w:pPr>
      <w:r w:rsidRPr="00650C32">
        <w:rPr>
          <w:rFonts w:ascii="Georgia" w:eastAsia="Times New Roman" w:hAnsi="Georgia" w:cs="Times New Roman"/>
          <w:i/>
          <w:iCs/>
          <w:sz w:val="28"/>
          <w:szCs w:val="28"/>
        </w:rPr>
        <w:t xml:space="preserve">of the significant known and potential benefits and risks of such use, and of the extent to which such benefits and </w:t>
      </w:r>
      <w:r w:rsidRPr="00650C32">
        <w:rPr>
          <w:rFonts w:ascii="Georgia" w:eastAsia="Times New Roman" w:hAnsi="Georgia" w:cs="Times New Roman"/>
          <w:sz w:val="28"/>
          <w:szCs w:val="28"/>
          <w:u w:val="single"/>
        </w:rPr>
        <w:t>risks are unknown</w:t>
      </w:r>
      <w:r w:rsidRPr="00650C32">
        <w:rPr>
          <w:rFonts w:ascii="Georgia" w:eastAsia="Times New Roman" w:hAnsi="Georgia" w:cs="Times New Roman"/>
          <w:sz w:val="28"/>
          <w:szCs w:val="28"/>
        </w:rPr>
        <w:t>; and</w:t>
      </w:r>
    </w:p>
    <w:p w14:paraId="63E9D13F" w14:textId="77777777" w:rsidR="00650C32" w:rsidRPr="00650C32" w:rsidRDefault="00650C32" w:rsidP="00650C32">
      <w:pPr>
        <w:numPr>
          <w:ilvl w:val="0"/>
          <w:numId w:val="1"/>
        </w:numPr>
        <w:spacing w:before="100" w:beforeAutospacing="1" w:after="100" w:afterAutospacing="1" w:line="240" w:lineRule="auto"/>
        <w:rPr>
          <w:rFonts w:ascii="Georgia" w:eastAsia="Times New Roman" w:hAnsi="Georgia" w:cs="Times New Roman"/>
          <w:sz w:val="28"/>
          <w:szCs w:val="28"/>
        </w:rPr>
      </w:pPr>
      <w:r w:rsidRPr="00650C32">
        <w:rPr>
          <w:rFonts w:ascii="Georgia" w:eastAsia="Times New Roman" w:hAnsi="Georgia" w:cs="Times New Roman"/>
          <w:i/>
          <w:iCs/>
          <w:sz w:val="28"/>
          <w:szCs w:val="28"/>
        </w:rPr>
        <w:t xml:space="preserve">of the </w:t>
      </w:r>
      <w:r w:rsidRPr="00650C32">
        <w:rPr>
          <w:rFonts w:ascii="Georgia" w:eastAsia="Times New Roman" w:hAnsi="Georgia" w:cs="Times New Roman"/>
          <w:b/>
          <w:bCs/>
          <w:i/>
          <w:iCs/>
          <w:sz w:val="28"/>
          <w:szCs w:val="28"/>
        </w:rPr>
        <w:t>option to accept or refuse</w:t>
      </w:r>
      <w:r w:rsidRPr="00650C32">
        <w:rPr>
          <w:rFonts w:ascii="Georgia" w:eastAsia="Times New Roman" w:hAnsi="Georgia" w:cs="Times New Roman"/>
          <w:i/>
          <w:iCs/>
          <w:sz w:val="28"/>
          <w:szCs w:val="28"/>
        </w:rPr>
        <w:t xml:space="preserve"> administration of the product, of the consequences, if any, of refusing administration of the product, and of the alternatives to the product that are available and of their benefits and risks.</w:t>
      </w:r>
      <w:r w:rsidRPr="00650C32">
        <w:rPr>
          <w:rFonts w:ascii="Georgia" w:eastAsia="Times New Roman" w:hAnsi="Georgia" w:cs="Times New Roman"/>
          <w:sz w:val="28"/>
          <w:szCs w:val="28"/>
        </w:rPr>
        <w:br/>
      </w:r>
      <w:r w:rsidRPr="00650C32">
        <w:rPr>
          <w:rFonts w:ascii="Georgia" w:eastAsia="Times New Roman" w:hAnsi="Georgia" w:cs="Times New Roman"/>
          <w:sz w:val="28"/>
          <w:szCs w:val="28"/>
        </w:rPr>
        <w:br/>
        <w:t>(</w:t>
      </w:r>
      <w:hyperlink r:id="rId5" w:history="1">
        <w:r w:rsidRPr="00650C32">
          <w:rPr>
            <w:rFonts w:ascii="Georgia" w:eastAsia="Times New Roman" w:hAnsi="Georgia" w:cs="Times New Roman"/>
            <w:color w:val="0000FF"/>
            <w:sz w:val="28"/>
            <w:szCs w:val="28"/>
            <w:u w:val="single"/>
          </w:rPr>
          <w:t>https://uscode.house.gov/view.xhtml?req=%28title:21%20section:360bbb-3%20edition:prelim%29</w:t>
        </w:r>
      </w:hyperlink>
      <w:r w:rsidRPr="00650C32">
        <w:rPr>
          <w:rFonts w:ascii="Georgia" w:eastAsia="Times New Roman" w:hAnsi="Georgia" w:cs="Times New Roman"/>
          <w:sz w:val="28"/>
          <w:szCs w:val="28"/>
        </w:rPr>
        <w:t>)</w:t>
      </w:r>
    </w:p>
    <w:p w14:paraId="1C0D40B8" w14:textId="77777777" w:rsidR="00650C32" w:rsidRPr="00650C32" w:rsidRDefault="00650C32" w:rsidP="00650C32">
      <w:pPr>
        <w:spacing w:before="100" w:beforeAutospacing="1" w:after="100" w:afterAutospacing="1" w:line="240" w:lineRule="auto"/>
        <w:rPr>
          <w:rFonts w:ascii="Georgia" w:eastAsia="Times New Roman" w:hAnsi="Georgia" w:cs="Times New Roman"/>
          <w:sz w:val="28"/>
          <w:szCs w:val="28"/>
        </w:rPr>
      </w:pPr>
      <w:r w:rsidRPr="00650C32">
        <w:rPr>
          <w:rFonts w:ascii="Georgia" w:eastAsia="Times New Roman" w:hAnsi="Georgia" w:cs="Times New Roman"/>
          <w:sz w:val="28"/>
          <w:szCs w:val="28"/>
        </w:rPr>
        <w:t>Not only are the vaccine recipients not given access to the inserts (which are mostly blank), this information is also not provided on the informed consent, which federal law requires they be given prior to vaccination.</w:t>
      </w:r>
    </w:p>
    <w:p w14:paraId="7B8A0453" w14:textId="6AE51768" w:rsidR="00271155" w:rsidRDefault="00650C32">
      <w:r>
        <w:rPr>
          <w:noProof/>
        </w:rPr>
        <w:lastRenderedPageBreak/>
        <w:drawing>
          <wp:inline distT="0" distB="0" distL="0" distR="0" wp14:anchorId="1028BB61" wp14:editId="7EBA1765">
            <wp:extent cx="5943600" cy="7331075"/>
            <wp:effectExtent l="0" t="0" r="0" b="3175"/>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331075"/>
                    </a:xfrm>
                    <a:prstGeom prst="rect">
                      <a:avLst/>
                    </a:prstGeom>
                    <a:noFill/>
                    <a:ln>
                      <a:noFill/>
                    </a:ln>
                  </pic:spPr>
                </pic:pic>
              </a:graphicData>
            </a:graphic>
          </wp:inline>
        </w:drawing>
      </w:r>
    </w:p>
    <w:sectPr w:rsidR="002711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806B51"/>
    <w:multiLevelType w:val="multilevel"/>
    <w:tmpl w:val="BA944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C32"/>
    <w:rsid w:val="00271155"/>
    <w:rsid w:val="002F14E0"/>
    <w:rsid w:val="00650C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F43F3"/>
  <w15:chartTrackingRefBased/>
  <w15:docId w15:val="{51647F0B-FFAC-4C10-9646-FFE992DA9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50C3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50C32"/>
    <w:rPr>
      <w:b/>
      <w:bCs/>
    </w:rPr>
  </w:style>
  <w:style w:type="character" w:styleId="Emphasis">
    <w:name w:val="Emphasis"/>
    <w:basedOn w:val="DefaultParagraphFont"/>
    <w:uiPriority w:val="20"/>
    <w:qFormat/>
    <w:rsid w:val="00650C32"/>
    <w:rPr>
      <w:i/>
      <w:iCs/>
    </w:rPr>
  </w:style>
  <w:style w:type="character" w:styleId="Hyperlink">
    <w:name w:val="Hyperlink"/>
    <w:basedOn w:val="DefaultParagraphFont"/>
    <w:uiPriority w:val="99"/>
    <w:semiHidden/>
    <w:unhideWhenUsed/>
    <w:rsid w:val="00650C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748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uscode.house.gov/view.xhtml?req=%28title:21%20section:360bbb-3%20edition:prelim%2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320</Words>
  <Characters>1826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Timothy</dc:creator>
  <cp:keywords/>
  <dc:description/>
  <cp:lastModifiedBy>Baker, Timothy</cp:lastModifiedBy>
  <cp:revision>1</cp:revision>
  <dcterms:created xsi:type="dcterms:W3CDTF">2021-09-29T23:52:00Z</dcterms:created>
  <dcterms:modified xsi:type="dcterms:W3CDTF">2021-09-30T00:04:00Z</dcterms:modified>
</cp:coreProperties>
</file>